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lef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266065</wp:posOffset>
            </wp:positionH>
            <wp:positionV relativeFrom="paragraph">
              <wp:posOffset>-199390</wp:posOffset>
            </wp:positionV>
            <wp:extent cx="1333500" cy="457835"/>
            <wp:effectExtent l="0" t="0" r="0" b="18415"/>
            <wp:wrapNone/>
            <wp:docPr id="1" name="image1.jpeg" descr="/tmp/webword_604633954/upload_post_object_v2_938789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/tmp/webword_604633954/upload_post_object_v2_93878924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ASTER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星图国际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集团2024届校园招聘简章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 xml:space="preserve">一、公司简介：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Aster星图国际集团创立于2011年3月，是一家深耕于打印耗材领域，集自主研发、生产制造、传统国际贸易及跨境电商于一体的国际化集团公司。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2024年1月25日，集团公司 Planet Image International Limited（星图国际/亿铂电子）成功在美国纳斯达克IPO上市，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股票代码为“YIBO”。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集团全球研发制造中心“江西亿铂电子科技有限公司”位于江西省新余市(占地面积为36万㎡)，负责高科技实体产品的研发和制造，其中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硒鼓年产量高达2800万支，是全球单厂产能最大的通用耗材工厂，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拥有国家高新技术企业、国家知识产权优势企业等名誉称号；全球营销中心“研拓（广东）科技有限公司”位于伟人故乡广东省中山市，以互联网技术打造自主电子商务引擎，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渠道业务辐射全球逾45个国家和地区，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为中国市场奉送国际品质的打印耗材产品和服务，为欧美市场的dealer 和end user 推送产品和服务信息并达成交易；还有Aster Graphics BVI 旗下的美国和欧洲多个子公司，在发达国家建设了密集的销售和物流中心(占地面积合计5万㎡)，并拥有300人以上的海外本地化销售团队，负责完成实体产品的销售到达和售后。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集团跨境电商事业部成立于2014年，是业内领先的品牌运营商，荣获市内优秀出海企业，市职业技能等级认定企业，市大学生见习基地，市跨境电商副会长单位等多个称号。事业部在跨境电商领域深耕十载，成功打造了中国境内领先的跨境产业生态，并依托自身海外仓优势建立了多个自主品牌的在线销售渠道，海外市场线上销售占比达到41%，在Amazon和 Ebay等平台上位列同类目产品销售量排名第一，累计服务超500万终端客户，得到了市场的广泛认可。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截至2023年，星图国际仍为全球最大的兼容硒鼓制造商，市场份额占11.3%，年均复合增长率达到 30%以上，在西欧、北美激光打印通用耗材市场占有率位居第一，综合实力位列全球通用打印耗材行业前三名。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b/>
          <w:bCs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b/>
          <w:bCs/>
          <w:color w:val="000000"/>
          <w:kern w:val="2"/>
          <w:sz w:val="21"/>
          <w:szCs w:val="21"/>
          <w:lang w:val="en-US" w:eastAsia="zh-CN" w:bidi="ar"/>
        </w:rPr>
        <w:t>Aster星图国际集团愿为有志于从事电商、外贸事业的运营、业务、推广、研发技术类人才打造发展平台。我们诚挚邀请2024届优秀毕业生加入，共创美好未来。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毕业生需求及薪酬水平：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56"/>
        <w:gridCol w:w="1759"/>
        <w:gridCol w:w="1759"/>
        <w:gridCol w:w="1759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专业方向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工作地点</w:t>
            </w: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2024年度</w:t>
            </w: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综合收入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跨境电商类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电商运营储备干部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理工科专业优先，其次会计类/统计类/电子商务/英语/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</w:t>
            </w:r>
          </w:p>
        </w:tc>
        <w:tc>
          <w:tcPr>
            <w:tcW w:w="834" w:type="pct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10W-14W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跨境电商运营专员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8W-10W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跨境电商运营助理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德语电商运营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德语专业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10W-14W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海外客户营销-英语（储干）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英语专业优先，其次小语种专业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8.5W-11.5W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英语客服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财务类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财务专员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财务/会计/金融相关专业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</w:t>
            </w:r>
          </w:p>
        </w:tc>
        <w:tc>
          <w:tcPr>
            <w:tcW w:w="834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费用专员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产品类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见习产品经理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工业工程/机械电子工程/电子信息工程/机械专业类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</w:t>
            </w: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8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.5W-10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.5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外贸业务类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英语业务助理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商务英语/国际贸易/英语等专业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广东中山/海外分公司</w:t>
            </w: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7.5W-15.5W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德语业务助理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10W-16.5W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法语外贸业务助理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法语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4167" w:type="pct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1、年度综合收入包括工资、月度绩效奖金、租房补贴等各项补贴；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67" w:type="pct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2、外贸业务岗位具有外派欧美国家学习机会，出差期间，每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天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享受海外差旅补贴€30或$30或30英镑。第2年具有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3个月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以上的商务签学习机会，优秀者具有工作签的外派机会。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三、福利待遇：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1.上班时间：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5 天 8 小时工作制，周末双休；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2.激励机制：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核心骨干员工享有利润分红，股权分配以及各类季度、年度奖金；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3.社会保障：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五险一金；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4.带薪假期：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全年不低于 11 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带薪法定假期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以及婚、病、丧、产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等福利假期；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哺乳假、年假等带薪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假期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5.员工活动：</w:t>
      </w: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</w:rPr>
        <w:t>员工联谊活动/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年度司庆狂欢活动/月度生日之星下午茶茶会/部门不定时聚餐/电商大促下午茶等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6.吃住津贴：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工作午餐或餐补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住房补贴或员工公寓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7.员工关怀：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三八妇女节、端午、中秋等重大节日派发礼品；结婚礼包；生育礼包等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8.伯乐大奖：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内部推荐伯乐奖金。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kern w:val="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kern w:val="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-65405</wp:posOffset>
            </wp:positionV>
            <wp:extent cx="1600200" cy="1596390"/>
            <wp:effectExtent l="9525" t="9525" r="9525" b="1333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639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四、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简历投递方式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方式一：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参加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>现场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宣讲会，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>投递简历；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/>
        <w:jc w:val="both"/>
        <w:rPr>
          <w:rFonts w:hint="eastAsia" w:ascii="微软雅黑" w:hAnsi="微软雅黑" w:eastAsia="微软雅黑" w:cs="微软雅黑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方式二：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欢迎关注Aster星图国际集团2024届校园招聘网申系统（右侧二维码）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 w:firstLine="800" w:firstLineChars="400"/>
        <w:jc w:val="both"/>
        <w:rPr>
          <w:rFonts w:hint="eastAsia" w:ascii="微软雅黑" w:hAnsi="微软雅黑" w:eastAsia="微软雅黑" w:cs="微软雅黑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或点击http://hr.goaster.com/投递简历；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方式三：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邮件投递：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instrText xml:space="preserve"> HYPERLINK "http://hr.goaster.com/mainto:Join.Aster@goaster.com" </w:instrTex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Join.Aster@goaster.com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sz w:val="20"/>
          <w:szCs w:val="20"/>
          <w:lang w:val="en-US" w:eastAsia="zh-CN"/>
        </w:rPr>
        <w:t>备注：邮件主题简历格式：应聘岗位+毕业学校+专业+姓名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五、联系方式：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联 系 人</w:t>
      </w:r>
      <w:r>
        <w:rPr>
          <w:rFonts w:hint="eastAsia" w:ascii="微软雅黑" w:hAnsi="微软雅黑" w:eastAsia="微软雅黑" w:cs="微软雅黑"/>
          <w:sz w:val="20"/>
          <w:szCs w:val="20"/>
        </w:rPr>
        <w:t>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陈小姐/</w:t>
      </w:r>
      <w:r>
        <w:rPr>
          <w:rFonts w:hint="default" w:ascii="微软雅黑" w:hAnsi="微软雅黑" w:eastAsia="微软雅黑" w:cs="微软雅黑"/>
          <w:sz w:val="20"/>
          <w:szCs w:val="20"/>
          <w:lang w:eastAsia="zh-CN"/>
        </w:rPr>
        <w:t>钟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小姐0760-85885500/858855</w:t>
      </w:r>
      <w:r>
        <w:rPr>
          <w:rFonts w:hint="default" w:ascii="微软雅黑" w:hAnsi="微软雅黑" w:eastAsia="微软雅黑" w:cs="微软雅黑"/>
          <w:sz w:val="20"/>
          <w:szCs w:val="20"/>
          <w:lang w:eastAsia="zh-CN"/>
        </w:rPr>
        <w:t>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联系邮箱：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Join.Aster@goaster.com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5DE2D"/>
    <w:multiLevelType w:val="singleLevel"/>
    <w:tmpl w:val="3E45DE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ZjlmZjAzNmE2NDIwY2RmYTAyODM3NzkyZDlkZmEifQ=="/>
    <w:docVar w:name="KSO_WPS_MARK_KEY" w:val="cb0ed340-b773-4324-8289-f8d0bfeb1d86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C9E047D"/>
    <w:rsid w:val="123158CB"/>
    <w:rsid w:val="27317F50"/>
    <w:rsid w:val="299449FB"/>
    <w:rsid w:val="2A2934B3"/>
    <w:rsid w:val="327B01C5"/>
    <w:rsid w:val="33FB5B6E"/>
    <w:rsid w:val="33FC3007"/>
    <w:rsid w:val="37F5E3B2"/>
    <w:rsid w:val="3A1D4119"/>
    <w:rsid w:val="3BFD32FC"/>
    <w:rsid w:val="3F6F7BC0"/>
    <w:rsid w:val="3FF74816"/>
    <w:rsid w:val="41874A60"/>
    <w:rsid w:val="491C23B7"/>
    <w:rsid w:val="497D0CA1"/>
    <w:rsid w:val="4F7BCCCA"/>
    <w:rsid w:val="4FE74163"/>
    <w:rsid w:val="58C326AE"/>
    <w:rsid w:val="59EBBD20"/>
    <w:rsid w:val="5E74738A"/>
    <w:rsid w:val="60402F72"/>
    <w:rsid w:val="6260114F"/>
    <w:rsid w:val="6B79FADA"/>
    <w:rsid w:val="6C7DDB1C"/>
    <w:rsid w:val="6F5D975F"/>
    <w:rsid w:val="6F7A002F"/>
    <w:rsid w:val="6FBC67BB"/>
    <w:rsid w:val="70ED783A"/>
    <w:rsid w:val="7273217B"/>
    <w:rsid w:val="752A3FEA"/>
    <w:rsid w:val="76A8D851"/>
    <w:rsid w:val="787E480D"/>
    <w:rsid w:val="7A7E20DE"/>
    <w:rsid w:val="7BB1A0C4"/>
    <w:rsid w:val="7BFC0AA9"/>
    <w:rsid w:val="7D0F0BF4"/>
    <w:rsid w:val="7DD75469"/>
    <w:rsid w:val="7FED95B6"/>
    <w:rsid w:val="7FEF0173"/>
    <w:rsid w:val="7FFE5873"/>
    <w:rsid w:val="BF9DAC0E"/>
    <w:rsid w:val="C3AD4DA9"/>
    <w:rsid w:val="D796BC83"/>
    <w:rsid w:val="DF878CF4"/>
    <w:rsid w:val="E6F7868D"/>
    <w:rsid w:val="EFEB55ED"/>
    <w:rsid w:val="F15AE3AC"/>
    <w:rsid w:val="FED79852"/>
    <w:rsid w:val="FEFF2C66"/>
    <w:rsid w:val="FF6F692E"/>
    <w:rsid w:val="FF87BF6E"/>
    <w:rsid w:val="FFB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1315</Characters>
  <Lines>1</Lines>
  <Paragraphs>1</Paragraphs>
  <TotalTime>0</TotalTime>
  <ScaleCrop>false</ScaleCrop>
  <LinksUpToDate>false</LinksUpToDate>
  <CharactersWithSpaces>1350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2016-05-18T08:04:00Z</dcterms:created>
  <dc:creator>Administrator</dc:creator>
  <cp:lastModifiedBy>轩哥嵘弟的妈妈</cp:lastModifiedBy>
  <cp:lastPrinted>2022-10-03T01:05:00Z</cp:lastPrinted>
  <dcterms:modified xsi:type="dcterms:W3CDTF">2024-02-27T14:02:53Z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B3C3DA1CD7264461B9718295399B464F_13</vt:lpwstr>
  </property>
</Properties>
</file>